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719" w:rsidRPr="007A6719" w:rsidRDefault="007A6719" w:rsidP="007A6719">
      <w:pPr>
        <w:spacing w:line="276" w:lineRule="auto"/>
        <w:contextualSpacing/>
        <w:rPr>
          <w:i/>
          <w:iCs/>
          <w:szCs w:val="24"/>
          <w:u w:val="single"/>
        </w:rPr>
      </w:pPr>
      <w:bookmarkStart w:id="0" w:name="_GoBack"/>
      <w:bookmarkEnd w:id="0"/>
      <w:r w:rsidRPr="007A6719">
        <w:rPr>
          <w:i/>
          <w:iCs/>
          <w:szCs w:val="24"/>
          <w:u w:val="single"/>
        </w:rPr>
        <w:t>Mgr. Svetlana Šašerina, PhD.</w:t>
      </w: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Svätomikulášske legendy v kontexte ľudovej duchovnej kultúry</w:t>
      </w:r>
    </w:p>
    <w:p w:rsidR="007A6719" w:rsidRPr="007A6719" w:rsidRDefault="007A6719" w:rsidP="007A6719">
      <w:pPr>
        <w:spacing w:line="276" w:lineRule="auto"/>
        <w:contextualSpacing/>
        <w:rPr>
          <w:i/>
          <w:iCs/>
          <w:szCs w:val="24"/>
        </w:rPr>
      </w:pPr>
      <w:r w:rsidRPr="007A6719">
        <w:rPr>
          <w:i/>
          <w:iCs/>
          <w:szCs w:val="24"/>
        </w:rPr>
        <w:t>St. Nicholas legends in the context of spiritual folk culture</w:t>
      </w: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Svätý Mikuláš je vysoko uctievaný svätec v kresťanskej duchovnej kultúre. Už za svojho života bol známy ako štedrý darca, ktorý pomáhal v každej potrebe. Táto skutočnosť sa odráža aj v jeho súčasnom uctievaní. Slovanská ľudová tradícia však pozná nepomerne viac príbehov, ktoré sa spájajú s menom tohto svätca. V rámci dizertačnej prace sa budú analyzovať texty rukopisných zborníkov zo slovanského prostredia, ktoré obsahujú exemplá, kázne a legendy. Veľká časť z nich je ovplyvnená aj folklórnymi vplyvmi, preto sa bude  hľadať a analyzovať pôvod jednotlivých motívov.</w:t>
      </w: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Saint Nicholas is a highly honored saint in Christian spiritual culture. Even in his lifetime he was known as a generous giver who helped in every need. This fact is also reflected in his contemporary veneration. Slavic folk tradition, however, knows infinitely more stories associated with the name of this saint. The dissertation will analyze the texts of manuscript collections from the Slavic milieu that contain exemplars, sermons and legends. A large part of them is also influenced by folklore influences, so the origin of individual motives will be sought and analyzed.</w:t>
      </w:r>
    </w:p>
    <w:p w:rsid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 xml:space="preserve"> </w:t>
      </w:r>
    </w:p>
    <w:p w:rsidR="007A6719" w:rsidRPr="007A6719" w:rsidRDefault="007A6719" w:rsidP="007A6719">
      <w:pPr>
        <w:spacing w:line="276" w:lineRule="auto"/>
        <w:contextualSpacing/>
        <w:rPr>
          <w:i/>
          <w:iCs/>
          <w:szCs w:val="24"/>
          <w:u w:val="single"/>
        </w:rPr>
      </w:pPr>
      <w:r w:rsidRPr="007A6719">
        <w:rPr>
          <w:i/>
          <w:iCs/>
          <w:szCs w:val="24"/>
          <w:u w:val="single"/>
        </w:rPr>
        <w:t>prof. PhDr. Peter Žeňuch, DrSc.</w:t>
      </w: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 xml:space="preserve">Paraliturgické piesne v zbierkach z východného Slovenska: jazykovo-kultúrna komparácia </w:t>
      </w:r>
    </w:p>
    <w:p w:rsidR="007A6719" w:rsidRPr="007A6719" w:rsidRDefault="007A6719" w:rsidP="007A6719">
      <w:pPr>
        <w:spacing w:line="276" w:lineRule="auto"/>
        <w:contextualSpacing/>
        <w:rPr>
          <w:i/>
          <w:iCs/>
          <w:szCs w:val="24"/>
        </w:rPr>
      </w:pPr>
      <w:r w:rsidRPr="007A6719">
        <w:rPr>
          <w:i/>
          <w:iCs/>
          <w:szCs w:val="24"/>
        </w:rPr>
        <w:t xml:space="preserve">Paraliturgical hymns in collections from eastern Slovakia: a linguistic-cultural comparison </w:t>
      </w:r>
    </w:p>
    <w:p w:rsidR="007A6719" w:rsidRPr="007A6719" w:rsidRDefault="007A6719" w:rsidP="007A6719">
      <w:pPr>
        <w:spacing w:line="276" w:lineRule="auto"/>
        <w:contextualSpacing/>
        <w:rPr>
          <w:i/>
          <w:iCs/>
          <w:szCs w:val="24"/>
        </w:rPr>
      </w:pPr>
    </w:p>
    <w:p w:rsidR="007A6719" w:rsidRPr="007A6719" w:rsidRDefault="007A6719" w:rsidP="007A6719">
      <w:pPr>
        <w:spacing w:line="276" w:lineRule="auto"/>
        <w:contextualSpacing/>
        <w:rPr>
          <w:i/>
          <w:iCs/>
          <w:szCs w:val="24"/>
        </w:rPr>
      </w:pPr>
      <w:r w:rsidRPr="007A6719">
        <w:rPr>
          <w:i/>
          <w:iCs/>
          <w:szCs w:val="24"/>
        </w:rPr>
        <w:t>Paraliturgická pieseň v byzantskom prostredí patrí k mimoliturgickým piesňovým prejavom a zároveň predstavuje obraz o kultúrnom a religióznom myslení v ľudovom kontexte. Popri didaktickej funkcii sú piesne aj svedectvom o historicko-kultúrnej pamäti veriaceho spoločenstva. Odráža sa v nich celý rad procesov, ktoré sú zahrnuté v jazykovej zložke jednotlivých textov a ich variantmi. Jednotlivé piesne a ich varianty pritom poukazujú na jazykovo-kultúrne i religiózne reálie prostredia, v ktorých sa používajú. Existencia piesňových variantov dokazuje interkultúrnu životaschopnosť tém a výskum ich jazyka zároveň poskytuje priestor pre pochopenie procesov kultúrnej komunikácie.</w:t>
      </w:r>
    </w:p>
    <w:p w:rsidR="007A6719" w:rsidRPr="007A6719" w:rsidRDefault="007A6719" w:rsidP="007A6719">
      <w:pPr>
        <w:spacing w:line="276" w:lineRule="auto"/>
        <w:contextualSpacing/>
        <w:rPr>
          <w:i/>
          <w:iCs/>
          <w:szCs w:val="24"/>
        </w:rPr>
      </w:pPr>
    </w:p>
    <w:p w:rsidR="00012145" w:rsidRPr="007A6719" w:rsidRDefault="007A6719" w:rsidP="007A6719">
      <w:pPr>
        <w:spacing w:line="276" w:lineRule="auto"/>
        <w:contextualSpacing/>
        <w:rPr>
          <w:szCs w:val="24"/>
          <w:lang w:val="en-US"/>
        </w:rPr>
      </w:pPr>
      <w:r w:rsidRPr="007A6719">
        <w:rPr>
          <w:i/>
          <w:iCs/>
          <w:szCs w:val="24"/>
        </w:rPr>
        <w:t xml:space="preserve">The paraliturgical hymns in the Byzantine environment belong to the non-liturgical hymn expressions and at the same time present a reflection of cultural and religious thinking in a folk context. In addition to their didactic function, the paraliturgical hymns are also a testimony to the historical-cultural memory of a community of believers. They reflect a number of processes that are included in the linguistic component of individual texts and their variants. In doing so, individual hymns and their variants point to the linguistic-cultural and religious reality of the settings in which they are used. The existence of hymn variants </w:t>
      </w:r>
      <w:r w:rsidRPr="007A6719">
        <w:rPr>
          <w:i/>
          <w:iCs/>
          <w:szCs w:val="24"/>
        </w:rPr>
        <w:lastRenderedPageBreak/>
        <w:t>illustrates the cross-cultural viability of the themes, and research into their language also provides a space for understanding the processes of cultural communication.</w:t>
      </w: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i/>
          <w:iCs/>
          <w:szCs w:val="24"/>
          <w:u w:val="single"/>
        </w:rPr>
      </w:pPr>
      <w:r w:rsidRPr="007A6719">
        <w:rPr>
          <w:i/>
          <w:iCs/>
          <w:szCs w:val="24"/>
          <w:u w:val="single"/>
        </w:rPr>
        <w:t>doc. Mgr. Katarína Žeňuchová, PhD.</w:t>
      </w: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i/>
          <w:iCs/>
          <w:szCs w:val="24"/>
        </w:rPr>
      </w:pPr>
      <w:r w:rsidRPr="007A6719">
        <w:rPr>
          <w:i/>
          <w:iCs/>
          <w:szCs w:val="24"/>
        </w:rPr>
        <w:t>1. Etnolingvistická analýza vybraného obrazu zvieraťa v tradičnej kultúre Slovanov.</w:t>
      </w:r>
    </w:p>
    <w:p w:rsidR="00012145" w:rsidRPr="007A6719" w:rsidRDefault="00012145" w:rsidP="007A6719">
      <w:pPr>
        <w:spacing w:line="276" w:lineRule="auto"/>
        <w:contextualSpacing/>
        <w:rPr>
          <w:i/>
          <w:iCs/>
          <w:szCs w:val="24"/>
          <w:lang w:val="en-US"/>
        </w:rPr>
      </w:pPr>
      <w:r w:rsidRPr="007A6719">
        <w:rPr>
          <w:i/>
          <w:iCs/>
          <w:szCs w:val="24"/>
          <w:lang w:val="en-US"/>
        </w:rPr>
        <w:t>Ethnolinguistic Analysis of a Selected Image in Traditional Slavic Culture</w:t>
      </w:r>
    </w:p>
    <w:p w:rsidR="00012145" w:rsidRPr="007A6719" w:rsidRDefault="00012145" w:rsidP="007A6719">
      <w:pPr>
        <w:spacing w:line="276" w:lineRule="auto"/>
        <w:contextualSpacing/>
        <w:rPr>
          <w:szCs w:val="24"/>
        </w:rPr>
      </w:pPr>
      <w:r w:rsidRPr="007A6719">
        <w:rPr>
          <w:szCs w:val="24"/>
        </w:rPr>
        <w:br/>
        <w:t>Predmetom výskumu dizertačnej práce sú animalistické predstavy a symboly v tradičnej kultúre Slovákov na pozadí širšieho slovanského kontextu. Metodologické východisko predstavujú práce ruských a poľských slavistov a etnolingvistov. Predstavy o predpokladaných vzťahoch a magických súvislostiach medzi svetom zvierat a svetom ľudí sa uplatňovali v rozličných vrstvách tradičnej kultúry – v rodinných i kalendárnych obyčajoch,  v liečebných praktikách, veštbách, predzvestiach, poverách, v naratívnych prozaických textoch, v krátkych žánroch folklórnej prózy, ktoré budú empirickým východiskom dizertačnej práce.  </w:t>
      </w: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szCs w:val="24"/>
        </w:rPr>
      </w:pPr>
      <w:r w:rsidRPr="007A6719">
        <w:rPr>
          <w:szCs w:val="24"/>
          <w:lang w:val="en-US"/>
        </w:rPr>
        <w:t>The subject of the dissertation is animalistic ideas and symbols in the traditional culture of Slovaks against the background of a wider Slavic context. The methodological starting point for the work is works of Russian and Polish slavists and ethno-linguists.Ideas about supposed relationships and magical connections between the world of animals and the world of man were applied in various layers of traditional culture - in family and calendar customs, in healing practices, fortune-telling, omens, superstitions, in narrative prose texts, in short genres of folklore prose, which will be the empirical starting point of the dissertation.</w:t>
      </w: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szCs w:val="24"/>
        </w:rPr>
      </w:pPr>
    </w:p>
    <w:p w:rsidR="00012145" w:rsidRPr="007A6719" w:rsidRDefault="00012145" w:rsidP="007A6719">
      <w:pPr>
        <w:spacing w:line="276" w:lineRule="auto"/>
        <w:contextualSpacing/>
        <w:rPr>
          <w:i/>
          <w:iCs/>
          <w:szCs w:val="24"/>
        </w:rPr>
      </w:pPr>
      <w:r w:rsidRPr="007A6719">
        <w:rPr>
          <w:i/>
          <w:iCs/>
          <w:szCs w:val="24"/>
        </w:rPr>
        <w:t xml:space="preserve">2. Ornitomorfné obrazy a symboly v slovenskej a slovanských kultúrach (etnolingvistický aspekt) </w:t>
      </w:r>
    </w:p>
    <w:p w:rsidR="00012145" w:rsidRPr="007A6719" w:rsidRDefault="00012145" w:rsidP="007A6719">
      <w:pPr>
        <w:spacing w:line="276" w:lineRule="auto"/>
        <w:contextualSpacing/>
        <w:rPr>
          <w:szCs w:val="24"/>
        </w:rPr>
      </w:pPr>
      <w:r w:rsidRPr="007A6719">
        <w:rPr>
          <w:i/>
          <w:iCs/>
          <w:szCs w:val="24"/>
        </w:rPr>
        <w:t>Ornithomorphic Images and Symbols in Slovak and Slavic Cultures (ethnolinguistical aspect)</w:t>
      </w:r>
      <w:r w:rsidRPr="007A6719">
        <w:rPr>
          <w:i/>
          <w:iCs/>
          <w:szCs w:val="24"/>
        </w:rPr>
        <w:br/>
      </w:r>
    </w:p>
    <w:p w:rsidR="00012145" w:rsidRPr="007A6719" w:rsidRDefault="00012145" w:rsidP="007A6719">
      <w:pPr>
        <w:spacing w:line="276" w:lineRule="auto"/>
        <w:contextualSpacing/>
        <w:rPr>
          <w:szCs w:val="24"/>
        </w:rPr>
      </w:pPr>
      <w:r w:rsidRPr="007A6719">
        <w:rPr>
          <w:szCs w:val="24"/>
        </w:rPr>
        <w:t xml:space="preserve">Vtáky predstavujú v rámci symboliky v ľudovej kultúre osobitnú skupinu, kde sa výraznejšie ako u iných zvierat uplatňuje diferenciácia na základe opozície čistý (dobrý) – nečistý (zlý). Niektorým zástupcom vtáčej ríše (napr. vrana, havran, bocian, sova, kukučka....)  sa v ľudovej kultúre pripisujú rozličné funkcie a symbolika, niektoré zohrávajú kľúčovú úlohu aj v mytologických predstavách. Metodologickým východiskom k práci je monografia ruského slavistu Alexandra Guru </w:t>
      </w:r>
      <w:r w:rsidRPr="007A6719">
        <w:rPr>
          <w:i/>
          <w:szCs w:val="24"/>
        </w:rPr>
        <w:t>Симвoлика животных в славянской народной традиции</w:t>
      </w:r>
      <w:r w:rsidRPr="007A6719">
        <w:rPr>
          <w:szCs w:val="24"/>
        </w:rPr>
        <w:t xml:space="preserve">, slovník </w:t>
      </w:r>
      <w:r w:rsidRPr="007A6719">
        <w:rPr>
          <w:i/>
          <w:szCs w:val="24"/>
        </w:rPr>
        <w:t>Славянские древности</w:t>
      </w:r>
      <w:r w:rsidRPr="007A6719">
        <w:rPr>
          <w:szCs w:val="24"/>
        </w:rPr>
        <w:t xml:space="preserve">, poľský etnolingvistický slovník </w:t>
      </w:r>
      <w:r w:rsidRPr="007A6719">
        <w:rPr>
          <w:i/>
          <w:szCs w:val="24"/>
        </w:rPr>
        <w:t>Slownik stereotypów i symboli ludowych</w:t>
      </w:r>
      <w:r w:rsidRPr="007A6719">
        <w:rPr>
          <w:szCs w:val="24"/>
        </w:rPr>
        <w:t xml:space="preserve"> a iné práce v slavistickom vedeckom diskurze. Predstavy o predpokladaných vzťahoch a magických súvislostiach medzi svetom vtákov a svetom ľudí sa uplatňovali v rozličných vrstvách tradičnej kultúry na Slovensku – v rodinných i kalendárnych obyčajoch, v liečebných praktikách, veštbách, predzvestiach, poverách, v naratívnych prozaických textoch, v krátkych žánroch folklórnej prózy, ktoré budú empirickým východiskom dizertačnej práce. </w:t>
      </w:r>
    </w:p>
    <w:p w:rsidR="00012145" w:rsidRPr="007A6719" w:rsidRDefault="00012145" w:rsidP="007A6719">
      <w:pPr>
        <w:spacing w:line="276" w:lineRule="auto"/>
        <w:contextualSpacing/>
        <w:rPr>
          <w:szCs w:val="24"/>
          <w:lang w:val="en-US"/>
        </w:rPr>
      </w:pPr>
      <w:r w:rsidRPr="007A6719">
        <w:rPr>
          <w:szCs w:val="24"/>
        </w:rPr>
        <w:lastRenderedPageBreak/>
        <w:br/>
      </w:r>
      <w:r w:rsidRPr="007A6719">
        <w:rPr>
          <w:szCs w:val="24"/>
          <w:lang w:val="en-US"/>
        </w:rPr>
        <w:t xml:space="preserve">Birds represent a distinctive group within the framework of symbolism in folk culture, where differentiation based on the opposition pure (good) – impure (evil) is applied more prominently than in other animals. Various functions and symbolism are attributed to some representatives of the bird kingdom </w:t>
      </w:r>
      <w:r w:rsidRPr="007A6719">
        <w:rPr>
          <w:szCs w:val="24"/>
        </w:rPr>
        <w:t xml:space="preserve">(i.e. crow, raven, </w:t>
      </w:r>
      <w:r w:rsidRPr="007A6719">
        <w:rPr>
          <w:szCs w:val="24"/>
          <w:lang w:val="en-GB"/>
        </w:rPr>
        <w:t>stork</w:t>
      </w:r>
      <w:r w:rsidRPr="007A6719">
        <w:rPr>
          <w:szCs w:val="24"/>
        </w:rPr>
        <w:t>, owl, cuckoo....)</w:t>
      </w:r>
      <w:r w:rsidRPr="007A6719">
        <w:rPr>
          <w:szCs w:val="24"/>
          <w:lang w:val="en-US"/>
        </w:rPr>
        <w:t xml:space="preserve"> in folk culture; some play a key role in mythological ideas. The methodological starting point for the work is the monography of the Russian slavist Alexander Gura </w:t>
      </w:r>
      <w:r w:rsidRPr="007A6719">
        <w:rPr>
          <w:i/>
          <w:szCs w:val="24"/>
          <w:lang w:val="en-US"/>
        </w:rPr>
        <w:t>Символика животных в славянской народной традиции</w:t>
      </w:r>
      <w:r w:rsidRPr="007A6719">
        <w:rPr>
          <w:szCs w:val="24"/>
          <w:lang w:val="en-US"/>
        </w:rPr>
        <w:t xml:space="preserve">, the dictionary </w:t>
      </w:r>
      <w:r w:rsidRPr="007A6719">
        <w:rPr>
          <w:i/>
          <w:szCs w:val="24"/>
          <w:lang w:val="en-US"/>
        </w:rPr>
        <w:t>Славянские древности</w:t>
      </w:r>
      <w:r w:rsidRPr="007A6719">
        <w:rPr>
          <w:szCs w:val="24"/>
          <w:lang w:val="en-US"/>
        </w:rPr>
        <w:t xml:space="preserve">, the Polish ethnolinguistic dictionary </w:t>
      </w:r>
      <w:r w:rsidRPr="007A6719">
        <w:rPr>
          <w:i/>
          <w:szCs w:val="24"/>
          <w:lang w:val="en-US"/>
        </w:rPr>
        <w:t>Slownik stereotypów i symboli ludowych</w:t>
      </w:r>
      <w:r w:rsidRPr="007A6719">
        <w:rPr>
          <w:szCs w:val="24"/>
          <w:lang w:val="en-US"/>
        </w:rPr>
        <w:t xml:space="preserve"> and other numerous works in the scientific discourse of slavistics. Ideas about supposed relationships and magical connections between the world of birds and the world of man were applied in various layers of traditional culture - in family and calendar customs, in healing practices, fortune-telling, omens, superstitions, in narrative prose texts, in short genres of folklore prose, which will be the empirical starting point of the dissertation.</w:t>
      </w:r>
    </w:p>
    <w:p w:rsidR="00012145" w:rsidRPr="007A6719" w:rsidRDefault="00012145" w:rsidP="007A6719">
      <w:pPr>
        <w:spacing w:line="276" w:lineRule="auto"/>
        <w:contextualSpacing/>
        <w:rPr>
          <w:szCs w:val="24"/>
          <w:lang w:val="en-US"/>
        </w:rPr>
      </w:pPr>
    </w:p>
    <w:p w:rsidR="00012145" w:rsidRPr="007A6719" w:rsidRDefault="00012145" w:rsidP="007A6719">
      <w:pPr>
        <w:spacing w:line="276" w:lineRule="auto"/>
        <w:contextualSpacing/>
        <w:rPr>
          <w:szCs w:val="24"/>
          <w:lang w:val="en-US"/>
        </w:rPr>
      </w:pPr>
    </w:p>
    <w:sectPr w:rsidR="00012145" w:rsidRPr="007A6719" w:rsidSect="005A1F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E9"/>
    <w:rsid w:val="00012145"/>
    <w:rsid w:val="000A12C9"/>
    <w:rsid w:val="000A2E1C"/>
    <w:rsid w:val="000B32C7"/>
    <w:rsid w:val="000F07F9"/>
    <w:rsid w:val="00176B97"/>
    <w:rsid w:val="001827F1"/>
    <w:rsid w:val="003D09DE"/>
    <w:rsid w:val="00550766"/>
    <w:rsid w:val="005A1F71"/>
    <w:rsid w:val="0066634A"/>
    <w:rsid w:val="006F3835"/>
    <w:rsid w:val="007A6719"/>
    <w:rsid w:val="007E3FC9"/>
    <w:rsid w:val="007F6AD3"/>
    <w:rsid w:val="00823B8D"/>
    <w:rsid w:val="008951B8"/>
    <w:rsid w:val="008F5C58"/>
    <w:rsid w:val="009A44B7"/>
    <w:rsid w:val="00AB6FC8"/>
    <w:rsid w:val="00BF2B37"/>
    <w:rsid w:val="00CB1D6F"/>
    <w:rsid w:val="00CD6337"/>
    <w:rsid w:val="00DA0E6B"/>
    <w:rsid w:val="00DC787C"/>
    <w:rsid w:val="00DF141E"/>
    <w:rsid w:val="00DF22A3"/>
    <w:rsid w:val="00DF468A"/>
    <w:rsid w:val="00E4790E"/>
    <w:rsid w:val="00E60EA2"/>
    <w:rsid w:val="00ED18E9"/>
    <w:rsid w:val="00EF09BE"/>
    <w:rsid w:val="00FA495D"/>
  </w:rsids>
  <m:mathPr>
    <m:mathFont m:val="Cambria Math"/>
    <m:brkBin m:val="before"/>
    <m:brkBinSub m:val="--"/>
    <m:smallFrac m:val="0"/>
    <m:dispDef/>
    <m:lMargin m:val="0"/>
    <m:rMargin m:val="0"/>
    <m:defJc m:val="centerGroup"/>
    <m:wrapIndent m:val="1440"/>
    <m:intLim m:val="subSup"/>
    <m:naryLim m:val="undOvr"/>
  </m:mathPr>
  <w:themeFontLang w:val="sk-SK" w:bidi="sd-Dev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3835"/>
    <w:pPr>
      <w:spacing w:after="0" w:line="240" w:lineRule="auto"/>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liases w:val="Nemčina"/>
    <w:uiPriority w:val="1"/>
    <w:qFormat/>
    <w:rsid w:val="00DF141E"/>
    <w:pPr>
      <w:spacing w:after="0" w:line="240" w:lineRule="auto"/>
      <w:jc w:val="both"/>
    </w:pPr>
    <w:rPr>
      <w:lang w:val="de-DE"/>
    </w:rPr>
  </w:style>
  <w:style w:type="character" w:customStyle="1" w:styleId="st">
    <w:name w:val="st"/>
    <w:rsid w:val="00ED1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F3835"/>
    <w:pPr>
      <w:spacing w:after="0" w:line="240" w:lineRule="auto"/>
      <w:jc w:val="both"/>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liases w:val="Nemčina"/>
    <w:uiPriority w:val="1"/>
    <w:qFormat/>
    <w:rsid w:val="00DF141E"/>
    <w:pPr>
      <w:spacing w:after="0" w:line="240" w:lineRule="auto"/>
      <w:jc w:val="both"/>
    </w:pPr>
    <w:rPr>
      <w:lang w:val="de-DE"/>
    </w:rPr>
  </w:style>
  <w:style w:type="character" w:customStyle="1" w:styleId="st">
    <w:name w:val="st"/>
    <w:rsid w:val="00ED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50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5831</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Zenuchovci</dc:creator>
  <cp:lastModifiedBy>Zenuch</cp:lastModifiedBy>
  <cp:revision>2</cp:revision>
  <dcterms:created xsi:type="dcterms:W3CDTF">2023-02-26T13:31:00Z</dcterms:created>
  <dcterms:modified xsi:type="dcterms:W3CDTF">2023-02-26T13:31:00Z</dcterms:modified>
</cp:coreProperties>
</file>